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DCCE" w14:textId="77777777" w:rsidR="002F1D37" w:rsidRPr="002F1D37" w:rsidRDefault="002F1D37" w:rsidP="002F1D37">
      <w:pPr>
        <w:pStyle w:val="Heading1"/>
        <w:spacing w:before="0" w:line="288" w:lineRule="auto"/>
        <w:ind w:left="0" w:right="0"/>
        <w:rPr>
          <w:rFonts w:asciiTheme="minorHAnsi" w:hAnsiTheme="minorHAnsi"/>
          <w:sz w:val="24"/>
          <w:szCs w:val="24"/>
        </w:rPr>
      </w:pPr>
      <w:r w:rsidRPr="002F1D37">
        <w:rPr>
          <w:rFonts w:asciiTheme="minorHAnsi" w:hAnsiTheme="minorHAnsi"/>
          <w:sz w:val="24"/>
          <w:szCs w:val="24"/>
        </w:rPr>
        <w:t xml:space="preserve">INTOSOL Holdings Plc (‘INTOSOL’ or the ‘Company’) </w:t>
      </w:r>
    </w:p>
    <w:p w14:paraId="5333B8FB" w14:textId="77777777" w:rsidR="002F1D37" w:rsidRDefault="002F1D37" w:rsidP="002F1D37">
      <w:pPr>
        <w:pStyle w:val="Heading1"/>
        <w:spacing w:before="0" w:line="288" w:lineRule="auto"/>
        <w:ind w:left="0" w:right="0"/>
        <w:rPr>
          <w:rFonts w:asciiTheme="minorHAnsi" w:hAnsiTheme="minorHAnsi"/>
          <w:sz w:val="22"/>
          <w:szCs w:val="22"/>
        </w:rPr>
      </w:pPr>
    </w:p>
    <w:p w14:paraId="024C4F7A" w14:textId="77777777" w:rsidR="002F1D37" w:rsidRPr="000301BA" w:rsidRDefault="001C3EB0" w:rsidP="002F1D37">
      <w:pPr>
        <w:pStyle w:val="Heading1"/>
        <w:spacing w:before="0" w:line="288" w:lineRule="auto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Common Share Subscription and market making</w:t>
      </w:r>
    </w:p>
    <w:p w14:paraId="4491AA13" w14:textId="77777777" w:rsidR="002F1D37" w:rsidRDefault="002F1D37" w:rsidP="002F1D37">
      <w:pPr>
        <w:pStyle w:val="Heading1"/>
        <w:spacing w:before="0" w:line="288" w:lineRule="auto"/>
        <w:ind w:left="0" w:right="0"/>
        <w:rPr>
          <w:rFonts w:asciiTheme="minorHAnsi" w:hAnsiTheme="minorHAnsi"/>
          <w:sz w:val="22"/>
          <w:szCs w:val="22"/>
        </w:rPr>
      </w:pPr>
    </w:p>
    <w:p w14:paraId="233681EF" w14:textId="77777777" w:rsidR="001C3EB0" w:rsidRPr="000301BA" w:rsidRDefault="001C3EB0" w:rsidP="002F1D37">
      <w:pPr>
        <w:pStyle w:val="Heading1"/>
        <w:spacing w:before="0" w:line="288" w:lineRule="auto"/>
        <w:ind w:left="0" w:right="0"/>
        <w:rPr>
          <w:rFonts w:asciiTheme="minorHAnsi" w:hAnsiTheme="minorHAnsi"/>
          <w:sz w:val="22"/>
          <w:szCs w:val="22"/>
        </w:rPr>
      </w:pPr>
    </w:p>
    <w:p w14:paraId="7D236EEF" w14:textId="23DAEED8" w:rsidR="002F1D37" w:rsidRPr="00ED7835" w:rsidRDefault="001C3EB0" w:rsidP="00ED7835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INTOSOL Holdings Plc.</w:t>
      </w:r>
      <w:r w:rsidR="002F1D37" w:rsidRPr="000301BA">
        <w:rPr>
          <w:sz w:val="22"/>
          <w:szCs w:val="22"/>
        </w:rPr>
        <w:t xml:space="preserve">, is pleased to announce </w:t>
      </w:r>
      <w:r w:rsidR="002F1D37">
        <w:rPr>
          <w:rFonts w:ascii="Calibri" w:hAnsi="Calibri"/>
          <w:sz w:val="22"/>
          <w:szCs w:val="22"/>
        </w:rPr>
        <w:t>£</w:t>
      </w:r>
      <w:r w:rsidR="002F1D37">
        <w:rPr>
          <w:sz w:val="22"/>
          <w:szCs w:val="22"/>
        </w:rPr>
        <w:t>450,000</w:t>
      </w:r>
      <w:r>
        <w:rPr>
          <w:sz w:val="22"/>
          <w:szCs w:val="22"/>
        </w:rPr>
        <w:t xml:space="preserve"> placement with a full warrant by</w:t>
      </w:r>
      <w:r w:rsidR="00A351F2">
        <w:rPr>
          <w:sz w:val="22"/>
          <w:szCs w:val="22"/>
        </w:rPr>
        <w:t xml:space="preserve"> a leading UK market maker.</w:t>
      </w:r>
      <w:r w:rsidR="002F1D37">
        <w:rPr>
          <w:sz w:val="22"/>
          <w:szCs w:val="22"/>
        </w:rPr>
        <w:t xml:space="preserve"> </w:t>
      </w:r>
      <w:r w:rsidR="00765C77">
        <w:rPr>
          <w:sz w:val="22"/>
          <w:szCs w:val="22"/>
        </w:rPr>
        <w:t>Each common share subscribed has a full warrant exercisable</w:t>
      </w:r>
      <w:r w:rsidR="00A351F2">
        <w:rPr>
          <w:sz w:val="22"/>
          <w:szCs w:val="22"/>
        </w:rPr>
        <w:t xml:space="preserve"> at 32 UK pence</w:t>
      </w:r>
      <w:r w:rsidR="00765C77">
        <w:rPr>
          <w:sz w:val="22"/>
          <w:szCs w:val="22"/>
        </w:rPr>
        <w:t xml:space="preserve"> on or before 31 December 2022. </w:t>
      </w:r>
      <w:r w:rsidR="002F1D37">
        <w:rPr>
          <w:sz w:val="22"/>
          <w:szCs w:val="22"/>
        </w:rPr>
        <w:t xml:space="preserve">The common shares purchased </w:t>
      </w:r>
      <w:r w:rsidR="002A0EE4">
        <w:rPr>
          <w:sz w:val="22"/>
          <w:szCs w:val="22"/>
        </w:rPr>
        <w:t xml:space="preserve">will </w:t>
      </w:r>
      <w:r w:rsidR="00A351F2">
        <w:rPr>
          <w:sz w:val="22"/>
          <w:szCs w:val="22"/>
        </w:rPr>
        <w:t xml:space="preserve">be provided </w:t>
      </w:r>
      <w:r w:rsidR="00367B15">
        <w:rPr>
          <w:sz w:val="22"/>
          <w:szCs w:val="22"/>
        </w:rPr>
        <w:t>from</w:t>
      </w:r>
      <w:r w:rsidR="002F1D37">
        <w:rPr>
          <w:sz w:val="22"/>
          <w:szCs w:val="22"/>
        </w:rPr>
        <w:t xml:space="preserve"> </w:t>
      </w:r>
      <w:r w:rsidR="00ED7835">
        <w:rPr>
          <w:rFonts w:ascii="Calibri" w:hAnsi="Calibri"/>
          <w:sz w:val="22"/>
          <w:szCs w:val="22"/>
        </w:rPr>
        <w:t>RSP-</w:t>
      </w:r>
      <w:proofErr w:type="spellStart"/>
      <w:r w:rsidR="00ED7835">
        <w:rPr>
          <w:rFonts w:ascii="Calibri" w:hAnsi="Calibri"/>
          <w:sz w:val="22"/>
          <w:szCs w:val="22"/>
        </w:rPr>
        <w:t>Beteiligungs</w:t>
      </w:r>
      <w:proofErr w:type="spellEnd"/>
      <w:r w:rsidR="00ED7835">
        <w:rPr>
          <w:rFonts w:ascii="Calibri" w:hAnsi="Calibri"/>
          <w:sz w:val="22"/>
          <w:szCs w:val="22"/>
        </w:rPr>
        <w:t xml:space="preserve"> GmbH </w:t>
      </w:r>
      <w:r w:rsidR="00A351F2">
        <w:rPr>
          <w:sz w:val="22"/>
          <w:szCs w:val="22"/>
        </w:rPr>
        <w:t xml:space="preserve">a major shareholder </w:t>
      </w:r>
      <w:r>
        <w:rPr>
          <w:sz w:val="22"/>
          <w:szCs w:val="22"/>
        </w:rPr>
        <w:t>reducing</w:t>
      </w:r>
      <w:r w:rsidR="002F1D37">
        <w:rPr>
          <w:sz w:val="22"/>
          <w:szCs w:val="22"/>
        </w:rPr>
        <w:t xml:space="preserve"> the</w:t>
      </w:r>
      <w:r w:rsidR="00A351F2">
        <w:rPr>
          <w:sz w:val="22"/>
          <w:szCs w:val="22"/>
        </w:rPr>
        <w:t>ir</w:t>
      </w:r>
      <w:r w:rsidR="002F1D37">
        <w:rPr>
          <w:sz w:val="22"/>
          <w:szCs w:val="22"/>
        </w:rPr>
        <w:t xml:space="preserve"> common </w:t>
      </w:r>
      <w:r w:rsidR="00A351F2">
        <w:rPr>
          <w:sz w:val="22"/>
          <w:szCs w:val="22"/>
        </w:rPr>
        <w:t>shares holding</w:t>
      </w:r>
      <w:r w:rsidR="00ED7835">
        <w:rPr>
          <w:sz w:val="22"/>
          <w:szCs w:val="22"/>
        </w:rPr>
        <w:t xml:space="preserve"> from 50.13</w:t>
      </w:r>
      <w:r w:rsidR="00F30D1B">
        <w:rPr>
          <w:sz w:val="22"/>
          <w:szCs w:val="22"/>
        </w:rPr>
        <w:t xml:space="preserve"> % to 33.81</w:t>
      </w:r>
      <w:r w:rsidR="002F1D37">
        <w:rPr>
          <w:sz w:val="22"/>
          <w:szCs w:val="22"/>
        </w:rPr>
        <w:t xml:space="preserve">%. </w:t>
      </w:r>
    </w:p>
    <w:p w14:paraId="5363C11B" w14:textId="77777777" w:rsidR="002F1D37" w:rsidRDefault="002F1D37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34F4136F" w14:textId="74FF7C0E" w:rsidR="002F1D37" w:rsidRDefault="002F1D37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proceeds of the subscription</w:t>
      </w:r>
      <w:r w:rsidR="00367B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A351F2">
        <w:rPr>
          <w:rFonts w:asciiTheme="minorHAnsi" w:hAnsiTheme="minorHAnsi"/>
          <w:sz w:val="22"/>
          <w:szCs w:val="22"/>
        </w:rPr>
        <w:t>be made available</w:t>
      </w:r>
      <w:r>
        <w:rPr>
          <w:rFonts w:asciiTheme="minorHAnsi" w:hAnsiTheme="minorHAnsi"/>
          <w:sz w:val="22"/>
          <w:szCs w:val="22"/>
        </w:rPr>
        <w:t xml:space="preserve"> to the Company by way of a </w:t>
      </w:r>
      <w:r w:rsidR="00765C77">
        <w:rPr>
          <w:rFonts w:asciiTheme="minorHAnsi" w:hAnsiTheme="minorHAnsi"/>
          <w:sz w:val="22"/>
          <w:szCs w:val="22"/>
        </w:rPr>
        <w:t>convertible</w:t>
      </w:r>
      <w:r>
        <w:rPr>
          <w:rFonts w:asciiTheme="minorHAnsi" w:hAnsiTheme="minorHAnsi"/>
          <w:sz w:val="22"/>
          <w:szCs w:val="22"/>
        </w:rPr>
        <w:t xml:space="preserve"> loan at same terms of the subscription with no interest convertible at the Company’s</w:t>
      </w:r>
      <w:r w:rsidR="00765C77">
        <w:rPr>
          <w:rFonts w:asciiTheme="minorHAnsi" w:hAnsiTheme="minorHAnsi"/>
          <w:sz w:val="22"/>
          <w:szCs w:val="22"/>
        </w:rPr>
        <w:t xml:space="preserve"> discretion</w:t>
      </w:r>
      <w:r w:rsidR="00A351F2">
        <w:rPr>
          <w:rFonts w:asciiTheme="minorHAnsi" w:hAnsiTheme="minorHAnsi"/>
          <w:sz w:val="22"/>
          <w:szCs w:val="22"/>
        </w:rPr>
        <w:t xml:space="preserve"> on or before three</w:t>
      </w:r>
      <w:r w:rsidR="001C3EB0">
        <w:rPr>
          <w:rFonts w:asciiTheme="minorHAnsi" w:hAnsiTheme="minorHAnsi"/>
          <w:sz w:val="22"/>
          <w:szCs w:val="22"/>
        </w:rPr>
        <w:t xml:space="preserve"> (3</w:t>
      </w:r>
      <w:r>
        <w:rPr>
          <w:rFonts w:asciiTheme="minorHAnsi" w:hAnsiTheme="minorHAnsi"/>
          <w:sz w:val="22"/>
          <w:szCs w:val="22"/>
        </w:rPr>
        <w:t>) years</w:t>
      </w:r>
      <w:r w:rsidR="00367B15">
        <w:rPr>
          <w:rFonts w:asciiTheme="minorHAnsi" w:hAnsiTheme="minorHAnsi"/>
          <w:sz w:val="22"/>
          <w:szCs w:val="22"/>
        </w:rPr>
        <w:t xml:space="preserve"> with a full warrant</w:t>
      </w:r>
      <w:r>
        <w:rPr>
          <w:rFonts w:asciiTheme="minorHAnsi" w:hAnsiTheme="minorHAnsi"/>
          <w:sz w:val="22"/>
          <w:szCs w:val="22"/>
        </w:rPr>
        <w:t>.</w:t>
      </w:r>
      <w:r w:rsidR="000066B3">
        <w:rPr>
          <w:rFonts w:asciiTheme="minorHAnsi" w:hAnsiTheme="minorHAnsi"/>
          <w:sz w:val="22"/>
          <w:szCs w:val="22"/>
        </w:rPr>
        <w:t xml:space="preserve"> Therefor no new shares will be issued for the subscription.</w:t>
      </w:r>
      <w:r w:rsidR="00774A62">
        <w:rPr>
          <w:rFonts w:asciiTheme="minorHAnsi" w:hAnsiTheme="minorHAnsi"/>
          <w:sz w:val="22"/>
          <w:szCs w:val="22"/>
        </w:rPr>
        <w:t xml:space="preserve"> The Company will deduct less financing costs of </w:t>
      </w:r>
      <w:r w:rsidR="00774A62">
        <w:rPr>
          <w:rFonts w:ascii="Calibri" w:hAnsi="Calibri"/>
          <w:sz w:val="22"/>
          <w:szCs w:val="22"/>
        </w:rPr>
        <w:t>£30,950 from subscription funds received. The proceeds will be used for working capital in part to property purchases.</w:t>
      </w:r>
    </w:p>
    <w:p w14:paraId="129A4F03" w14:textId="77777777" w:rsidR="00373364" w:rsidRDefault="00373364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2AB68D7E" w14:textId="0DFB903D" w:rsidR="00774A62" w:rsidRDefault="00373364" w:rsidP="00373364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Further a sophisticated investor syndicate (the “syndicate”) has agreed to purchase </w:t>
      </w:r>
      <w:r>
        <w:rPr>
          <w:rFonts w:ascii="Calibri" w:hAnsi="Calibri"/>
          <w:sz w:val="22"/>
          <w:szCs w:val="22"/>
        </w:rPr>
        <w:t>£</w:t>
      </w:r>
      <w:r>
        <w:rPr>
          <w:rFonts w:asciiTheme="minorHAnsi" w:hAnsiTheme="minorHAnsi"/>
          <w:sz w:val="22"/>
          <w:szCs w:val="22"/>
        </w:rPr>
        <w:t xml:space="preserve">1,500,000 shares on the market with a bonus share provided for every five shares purchased. </w:t>
      </w:r>
      <w:r w:rsidR="00A351F2">
        <w:rPr>
          <w:rFonts w:asciiTheme="minorHAnsi" w:hAnsiTheme="minorHAnsi"/>
          <w:sz w:val="22"/>
          <w:szCs w:val="22"/>
        </w:rPr>
        <w:t>The loan will also include funds provided for the admission of the Company.</w:t>
      </w:r>
      <w:r w:rsidR="00774A62">
        <w:rPr>
          <w:rFonts w:asciiTheme="minorHAnsi" w:hAnsiTheme="minorHAnsi"/>
          <w:sz w:val="22"/>
          <w:szCs w:val="22"/>
        </w:rPr>
        <w:t xml:space="preserve"> The effect of the Market Maker and sophisticated investor syndicate will see </w:t>
      </w:r>
      <w:proofErr w:type="spellStart"/>
      <w:proofErr w:type="gramStart"/>
      <w:r w:rsidR="00774A62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="00774A62">
        <w:rPr>
          <w:rFonts w:asciiTheme="minorHAnsi" w:hAnsiTheme="minorHAnsi"/>
          <w:sz w:val="22"/>
          <w:szCs w:val="22"/>
        </w:rPr>
        <w:t xml:space="preserve"> increase in the Company’s free f</w:t>
      </w:r>
      <w:r w:rsidR="00326F32">
        <w:rPr>
          <w:rFonts w:asciiTheme="minorHAnsi" w:hAnsiTheme="minorHAnsi"/>
          <w:sz w:val="22"/>
          <w:szCs w:val="22"/>
        </w:rPr>
        <w:t>loat by 15.37% providing much im</w:t>
      </w:r>
      <w:bookmarkStart w:id="0" w:name="_GoBack"/>
      <w:bookmarkEnd w:id="0"/>
      <w:r w:rsidR="00774A62">
        <w:rPr>
          <w:rFonts w:asciiTheme="minorHAnsi" w:hAnsiTheme="minorHAnsi"/>
          <w:sz w:val="22"/>
          <w:szCs w:val="22"/>
        </w:rPr>
        <w:t>proved liquidity in tradable common shares.</w:t>
      </w:r>
    </w:p>
    <w:p w14:paraId="5A9B2643" w14:textId="77777777" w:rsidR="00373364" w:rsidRDefault="00373364" w:rsidP="00373364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0D17B4E1" w14:textId="2F35D5AE" w:rsidR="00373364" w:rsidRDefault="00373364" w:rsidP="00373364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above market making strategy is to boost the Company’s share trading and distribution volumes whilst maintaining </w:t>
      </w:r>
      <w:r w:rsidR="00A351F2">
        <w:rPr>
          <w:rFonts w:asciiTheme="minorHAnsi" w:hAnsiTheme="minorHAnsi"/>
          <w:sz w:val="22"/>
          <w:szCs w:val="22"/>
        </w:rPr>
        <w:t>a</w:t>
      </w:r>
      <w:r w:rsidR="008D6E0F">
        <w:rPr>
          <w:rFonts w:asciiTheme="minorHAnsi" w:hAnsiTheme="minorHAnsi"/>
          <w:sz w:val="22"/>
          <w:szCs w:val="22"/>
        </w:rPr>
        <w:t>n</w:t>
      </w:r>
      <w:r w:rsidR="00A351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orderly market.</w:t>
      </w:r>
    </w:p>
    <w:p w14:paraId="6182DBBA" w14:textId="77777777" w:rsidR="00E166C1" w:rsidRDefault="00E166C1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4344D0D" w14:textId="6BE73FF0" w:rsidR="00E166C1" w:rsidRDefault="00E166C1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E166C1">
        <w:rPr>
          <w:rFonts w:asciiTheme="minorHAnsi" w:hAnsiTheme="minorHAnsi"/>
          <w:sz w:val="22"/>
          <w:szCs w:val="22"/>
        </w:rPr>
        <w:t xml:space="preserve">On </w:t>
      </w:r>
      <w:r w:rsidR="00A42009">
        <w:rPr>
          <w:rFonts w:asciiTheme="minorHAnsi" w:hAnsiTheme="minorHAnsi"/>
          <w:sz w:val="22"/>
          <w:szCs w:val="22"/>
        </w:rPr>
        <w:t>October 3,</w:t>
      </w:r>
      <w:r w:rsidRPr="00E166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2019</w:t>
      </w:r>
      <w:r w:rsidRPr="00E166C1">
        <w:rPr>
          <w:rFonts w:asciiTheme="minorHAnsi" w:hAnsiTheme="minorHAnsi"/>
          <w:sz w:val="22"/>
          <w:szCs w:val="22"/>
        </w:rPr>
        <w:t xml:space="preserve">, the Company entered into a relationship agreement with </w:t>
      </w:r>
      <w:r w:rsidR="00ED7835">
        <w:rPr>
          <w:rFonts w:ascii="Calibri" w:hAnsi="Calibri"/>
          <w:sz w:val="22"/>
          <w:szCs w:val="22"/>
        </w:rPr>
        <w:t>RSP-</w:t>
      </w:r>
      <w:proofErr w:type="spellStart"/>
      <w:r w:rsidR="00ED7835">
        <w:rPr>
          <w:rFonts w:ascii="Calibri" w:hAnsi="Calibri"/>
          <w:sz w:val="22"/>
          <w:szCs w:val="22"/>
        </w:rPr>
        <w:t>Beteiligungs</w:t>
      </w:r>
      <w:proofErr w:type="spellEnd"/>
      <w:r w:rsidR="00ED7835">
        <w:rPr>
          <w:rFonts w:ascii="Calibri" w:hAnsi="Calibri"/>
          <w:sz w:val="22"/>
          <w:szCs w:val="22"/>
        </w:rPr>
        <w:t xml:space="preserve"> GmbH</w:t>
      </w:r>
      <w:r w:rsidR="00ED7835">
        <w:rPr>
          <w:rFonts w:asciiTheme="minorHAnsi" w:hAnsiTheme="minorHAnsi"/>
          <w:sz w:val="22"/>
          <w:szCs w:val="22"/>
        </w:rPr>
        <w:t>, p</w:t>
      </w:r>
      <w:r w:rsidRPr="00E166C1">
        <w:rPr>
          <w:rFonts w:asciiTheme="minorHAnsi" w:hAnsiTheme="minorHAnsi"/>
          <w:sz w:val="22"/>
          <w:szCs w:val="22"/>
        </w:rPr>
        <w:t xml:space="preserve">ursuant to </w:t>
      </w:r>
      <w:r w:rsidR="00ED7835">
        <w:rPr>
          <w:rFonts w:asciiTheme="minorHAnsi" w:hAnsiTheme="minorHAnsi"/>
          <w:sz w:val="22"/>
          <w:szCs w:val="22"/>
        </w:rPr>
        <w:t>the</w:t>
      </w:r>
      <w:r w:rsidRPr="00E166C1">
        <w:rPr>
          <w:rFonts w:asciiTheme="minorHAnsi" w:hAnsiTheme="minorHAnsi"/>
          <w:sz w:val="22"/>
          <w:szCs w:val="22"/>
        </w:rPr>
        <w:t xml:space="preserve"> agreement, </w:t>
      </w:r>
      <w:r w:rsidR="00ED7835">
        <w:rPr>
          <w:rFonts w:ascii="Calibri" w:hAnsi="Calibri"/>
          <w:sz w:val="22"/>
          <w:szCs w:val="22"/>
        </w:rPr>
        <w:t>RSP-</w:t>
      </w:r>
      <w:proofErr w:type="spellStart"/>
      <w:r w:rsidR="00ED7835">
        <w:rPr>
          <w:rFonts w:ascii="Calibri" w:hAnsi="Calibri"/>
          <w:sz w:val="22"/>
          <w:szCs w:val="22"/>
        </w:rPr>
        <w:t>Beteiligungs</w:t>
      </w:r>
      <w:proofErr w:type="spellEnd"/>
      <w:r w:rsidR="00ED7835">
        <w:rPr>
          <w:rFonts w:ascii="Calibri" w:hAnsi="Calibri"/>
          <w:sz w:val="22"/>
          <w:szCs w:val="22"/>
        </w:rPr>
        <w:t xml:space="preserve"> GmbH</w:t>
      </w:r>
      <w:r w:rsidRPr="00E166C1">
        <w:rPr>
          <w:rFonts w:asciiTheme="minorHAnsi" w:hAnsiTheme="minorHAnsi"/>
          <w:sz w:val="22"/>
          <w:szCs w:val="22"/>
        </w:rPr>
        <w:t xml:space="preserve"> have agreed that all transactions and </w:t>
      </w:r>
      <w:r w:rsidR="00ED7835">
        <w:rPr>
          <w:rFonts w:asciiTheme="minorHAnsi" w:hAnsiTheme="minorHAnsi"/>
          <w:sz w:val="22"/>
          <w:szCs w:val="22"/>
        </w:rPr>
        <w:t>relationships between them</w:t>
      </w:r>
      <w:r w:rsidRPr="00E166C1">
        <w:rPr>
          <w:rFonts w:asciiTheme="minorHAnsi" w:hAnsiTheme="minorHAnsi"/>
          <w:sz w:val="22"/>
          <w:szCs w:val="22"/>
        </w:rPr>
        <w:t xml:space="preserve"> and the Company will be conducted on terms which allow the Company to carry on business independently, and all such transactions and relationships will be at arm’s length and on a normal commercial basis.</w:t>
      </w:r>
    </w:p>
    <w:p w14:paraId="157CEDCD" w14:textId="77777777" w:rsidR="002F1D37" w:rsidRDefault="002F1D37" w:rsidP="002F1D37">
      <w:pPr>
        <w:pStyle w:val="BodyText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4775C8B2" w14:textId="77777777" w:rsidR="00990B03" w:rsidRDefault="00990B03" w:rsidP="0037336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Lucida Grande"/>
          <w:b/>
          <w:sz w:val="22"/>
          <w:szCs w:val="22"/>
          <w:lang w:eastAsia="en-US"/>
        </w:rPr>
      </w:pPr>
    </w:p>
    <w:p w14:paraId="5ACB1A39" w14:textId="77777777" w:rsidR="00373364" w:rsidRDefault="00373364" w:rsidP="0037336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Lucida Grande"/>
          <w:b/>
          <w:sz w:val="22"/>
          <w:szCs w:val="22"/>
          <w:lang w:eastAsia="en-US"/>
        </w:rPr>
      </w:pPr>
      <w:r w:rsidRPr="002D36F1">
        <w:rPr>
          <w:rFonts w:ascii="Calibri" w:hAnsi="Calibri" w:cs="Lucida Grande"/>
          <w:b/>
          <w:sz w:val="22"/>
          <w:szCs w:val="22"/>
          <w:lang w:eastAsia="en-US"/>
        </w:rPr>
        <w:t>ENQUIRIES</w:t>
      </w:r>
    </w:p>
    <w:p w14:paraId="29CC32A4" w14:textId="1427BE0E" w:rsidR="00EF27E5" w:rsidRDefault="00EF27E5" w:rsidP="0037336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Lucida Grande"/>
          <w:b/>
          <w:sz w:val="22"/>
          <w:szCs w:val="22"/>
          <w:lang w:eastAsia="en-US"/>
        </w:rPr>
      </w:pPr>
      <w:r w:rsidRPr="00EF27E5">
        <w:rPr>
          <w:rFonts w:ascii="Calibri" w:hAnsi="Calibri" w:cs="Lucida Grande"/>
          <w:b/>
          <w:sz w:val="22"/>
          <w:szCs w:val="22"/>
          <w:lang w:eastAsia="en-US"/>
        </w:rPr>
        <w:t xml:space="preserve">Rainer </w:t>
      </w:r>
      <w:proofErr w:type="spellStart"/>
      <w:r w:rsidRPr="00EF27E5">
        <w:rPr>
          <w:rFonts w:ascii="Calibri" w:hAnsi="Calibri" w:cs="Lucida Grande"/>
          <w:b/>
          <w:sz w:val="22"/>
          <w:szCs w:val="22"/>
          <w:lang w:eastAsia="en-US"/>
        </w:rPr>
        <w:t>Spekowius</w:t>
      </w:r>
      <w:proofErr w:type="spellEnd"/>
      <w:r>
        <w:rPr>
          <w:rFonts w:ascii="Calibri" w:hAnsi="Calibri" w:cs="Lucida Grande"/>
          <w:b/>
          <w:sz w:val="22"/>
          <w:szCs w:val="22"/>
          <w:lang w:eastAsia="en-US"/>
        </w:rPr>
        <w:t xml:space="preserve">   Chairman</w:t>
      </w:r>
    </w:p>
    <w:p w14:paraId="5F59E1CF" w14:textId="02EE89C3" w:rsidR="00EF27E5" w:rsidRPr="002D36F1" w:rsidRDefault="00EF27E5" w:rsidP="0037336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Lucida Grande"/>
          <w:b/>
          <w:sz w:val="22"/>
          <w:szCs w:val="22"/>
          <w:lang w:eastAsia="en-US"/>
        </w:rPr>
      </w:pPr>
      <w:r>
        <w:rPr>
          <w:rFonts w:ascii="Calibri" w:hAnsi="Calibri" w:cs="Lucida Grande"/>
          <w:b/>
          <w:sz w:val="22"/>
          <w:szCs w:val="22"/>
          <w:lang w:eastAsia="en-US"/>
        </w:rPr>
        <w:t xml:space="preserve">Email: </w:t>
      </w:r>
      <w:r>
        <w:rPr>
          <w:rFonts w:ascii="Calibri" w:hAnsi="Calibri" w:cs="Lucida Grande"/>
          <w:b/>
          <w:sz w:val="22"/>
          <w:szCs w:val="22"/>
          <w:lang w:eastAsia="en-US"/>
        </w:rPr>
        <w:tab/>
      </w:r>
      <w:r w:rsidRPr="00EF27E5">
        <w:rPr>
          <w:rFonts w:ascii="Calibri" w:hAnsi="Calibri" w:cs="Lucida Grande"/>
          <w:b/>
          <w:sz w:val="22"/>
          <w:szCs w:val="22"/>
          <w:lang w:eastAsia="en-US"/>
        </w:rPr>
        <w:t>Rainer.Spekowius@intosol.de</w:t>
      </w:r>
    </w:p>
    <w:p w14:paraId="3E7706A8" w14:textId="77777777" w:rsidR="002F1D37" w:rsidRDefault="002F1D37" w:rsidP="00EF27E5">
      <w:pPr>
        <w:pStyle w:val="Heading1"/>
        <w:spacing w:before="0" w:line="288" w:lineRule="auto"/>
        <w:ind w:left="0"/>
        <w:jc w:val="left"/>
        <w:rPr>
          <w:rFonts w:asciiTheme="minorHAnsi" w:hAnsiTheme="minorHAnsi"/>
          <w:sz w:val="22"/>
          <w:szCs w:val="22"/>
          <w:lang w:val="en-GB"/>
        </w:rPr>
      </w:pPr>
    </w:p>
    <w:p w14:paraId="77473CA9" w14:textId="69BBC50B" w:rsidR="002F1D37" w:rsidRDefault="00326F32" w:rsidP="002F1D37">
      <w:pPr>
        <w:pStyle w:val="Heading1"/>
        <w:spacing w:before="0" w:line="288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hyperlink r:id="rId4" w:history="1">
        <w:r w:rsidR="00990B03" w:rsidRPr="00990B03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http://www.intosolholdingsplc.com/</w:t>
        </w:r>
      </w:hyperlink>
    </w:p>
    <w:p w14:paraId="63831674" w14:textId="77777777" w:rsidR="00990B03" w:rsidRDefault="00990B03" w:rsidP="002F1D37">
      <w:pPr>
        <w:pStyle w:val="Heading1"/>
        <w:spacing w:before="0" w:line="288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70149B7" w14:textId="77777777" w:rsidR="00990B03" w:rsidRDefault="00990B03" w:rsidP="002F1D37">
      <w:pPr>
        <w:pStyle w:val="Heading1"/>
        <w:spacing w:before="0" w:line="288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2EF133D" w14:textId="77777777" w:rsidR="00A351F2" w:rsidRPr="00A351F2" w:rsidRDefault="00A351F2" w:rsidP="00A351F2">
      <w:pPr>
        <w:pStyle w:val="Heading1"/>
        <w:spacing w:before="0" w:after="120" w:line="288" w:lineRule="auto"/>
        <w:ind w:left="0" w:right="2506"/>
        <w:jc w:val="both"/>
        <w:rPr>
          <w:rFonts w:asciiTheme="minorHAnsi" w:hAnsiTheme="minorHAnsi"/>
          <w:bCs w:val="0"/>
          <w:sz w:val="22"/>
          <w:szCs w:val="22"/>
        </w:rPr>
      </w:pPr>
      <w:r w:rsidRPr="00A351F2">
        <w:rPr>
          <w:rFonts w:asciiTheme="minorHAnsi" w:hAnsiTheme="minorHAnsi"/>
          <w:bCs w:val="0"/>
          <w:sz w:val="22"/>
          <w:szCs w:val="22"/>
        </w:rPr>
        <w:t>INTOSOL Holdings PLC</w:t>
      </w:r>
    </w:p>
    <w:p w14:paraId="28C1B7BF" w14:textId="77777777" w:rsidR="00A351F2" w:rsidRPr="00A351F2" w:rsidRDefault="00A351F2" w:rsidP="00A351F2">
      <w:pPr>
        <w:pStyle w:val="Heading1"/>
        <w:spacing w:before="0" w:line="288" w:lineRule="auto"/>
        <w:ind w:left="0" w:right="-5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351F2">
        <w:rPr>
          <w:rFonts w:asciiTheme="minorHAnsi" w:hAnsiTheme="minorHAnsi"/>
          <w:b w:val="0"/>
          <w:bCs w:val="0"/>
          <w:sz w:val="22"/>
          <w:szCs w:val="22"/>
        </w:rPr>
        <w:t xml:space="preserve">INTOSOL Holdings PLC is a London listed international luxury travel company that merges private travel design with hotel management and property ownership to provide bespoke, high-end global travel </w:t>
      </w:r>
      <w:r w:rsidRPr="00A351F2">
        <w:rPr>
          <w:rFonts w:asciiTheme="minorHAnsi" w:hAnsiTheme="minorHAnsi"/>
          <w:b w:val="0"/>
          <w:bCs w:val="0"/>
          <w:sz w:val="22"/>
          <w:szCs w:val="22"/>
        </w:rPr>
        <w:lastRenderedPageBreak/>
        <w:t>experiences across the world.</w:t>
      </w:r>
    </w:p>
    <w:p w14:paraId="2AB2D0CA" w14:textId="77777777" w:rsidR="002C14A3" w:rsidRPr="00A351F2" w:rsidRDefault="00326F32" w:rsidP="00A351F2">
      <w:pPr>
        <w:ind w:right="-52"/>
        <w:rPr>
          <w:rFonts w:eastAsia="Times New Roman" w:cs="Times New Roman"/>
          <w:sz w:val="22"/>
          <w:szCs w:val="22"/>
          <w:lang w:val="en-US" w:eastAsia="en-US"/>
        </w:rPr>
      </w:pPr>
    </w:p>
    <w:sectPr w:rsidR="002C14A3" w:rsidRPr="00A351F2" w:rsidSect="001F6E2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7"/>
    <w:rsid w:val="000066B3"/>
    <w:rsid w:val="001C3EB0"/>
    <w:rsid w:val="001F6E27"/>
    <w:rsid w:val="002A0EE4"/>
    <w:rsid w:val="002F1D37"/>
    <w:rsid w:val="00326F32"/>
    <w:rsid w:val="00367B15"/>
    <w:rsid w:val="00373364"/>
    <w:rsid w:val="00661FE8"/>
    <w:rsid w:val="00765C77"/>
    <w:rsid w:val="00774A62"/>
    <w:rsid w:val="008D6E0F"/>
    <w:rsid w:val="00990B03"/>
    <w:rsid w:val="00A351F2"/>
    <w:rsid w:val="00A42009"/>
    <w:rsid w:val="00D16C2A"/>
    <w:rsid w:val="00E166C1"/>
    <w:rsid w:val="00E25102"/>
    <w:rsid w:val="00ED7835"/>
    <w:rsid w:val="00EF27E5"/>
    <w:rsid w:val="00F30D1B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9F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F1D37"/>
    <w:pPr>
      <w:widowControl w:val="0"/>
      <w:autoSpaceDE w:val="0"/>
      <w:autoSpaceDN w:val="0"/>
      <w:spacing w:before="1"/>
      <w:ind w:left="108" w:right="25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1D37"/>
    <w:rPr>
      <w:rFonts w:ascii="Times New Roman" w:eastAsia="Times New Roman" w:hAnsi="Times New Roman" w:cs="Times New Roman"/>
      <w:b/>
      <w:bCs/>
      <w:sz w:val="25"/>
      <w:szCs w:val="25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F1D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1D37"/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ntosolholdingsplc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351</Words>
  <Characters>2002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INTOSOL Holdings Plc (‘INTOSOL’ or the ‘Company’) </vt:lpstr>
      <vt:lpstr/>
      <vt:lpstr>Common Share Subscription and market making</vt:lpstr>
      <vt:lpstr/>
      <vt:lpstr/>
      <vt:lpstr/>
      <vt:lpstr>http://www.intosolholdingsplc.com/</vt:lpstr>
      <vt:lpstr/>
      <vt:lpstr/>
      <vt:lpstr>INTOSOL Holdings PLC</vt:lpstr>
      <vt:lpstr>INTOSOL Holdings PLC is a London listed international luxury travel company that</vt:lpstr>
    </vt:vector>
  </TitlesOfParts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 Group</dc:creator>
  <cp:keywords/>
  <dc:description/>
  <cp:lastModifiedBy>CIC Group</cp:lastModifiedBy>
  <cp:revision>8</cp:revision>
  <dcterms:created xsi:type="dcterms:W3CDTF">2019-08-23T00:55:00Z</dcterms:created>
  <dcterms:modified xsi:type="dcterms:W3CDTF">2019-08-23T22:28:00Z</dcterms:modified>
</cp:coreProperties>
</file>